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firstLine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Проект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30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ЗАКОН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30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30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jc w:val="center"/>
        <w:widowControl w:val="off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внесении изменений в отдельные законы Алтайского края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Style w:val="939"/>
        <w:ind w:firstLine="0"/>
        <w:jc w:val="center"/>
        <w:widowControl w:val="off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</w:p>
    <w:p>
      <w:pPr>
        <w:pStyle w:val="939"/>
        <w:ind w:firstLine="0"/>
        <w:jc w:val="center"/>
        <w:widowControl w:val="off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  <w:r>
        <w:rPr>
          <w:rFonts w:ascii="PT Astra Serif" w:hAnsi="PT Astra Serif" w:cs="PT Astra Serif"/>
          <w:sz w:val="28"/>
          <w:szCs w:val="28"/>
          <w:lang w:val="ru-RU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1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  <w:r>
        <w:rPr>
          <w:rFonts w:ascii="PT Astra Serif" w:hAnsi="PT Astra Serif" w:cs="PT Astra Serif"/>
          <w:b w:val="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Внести в закон Алтайского края от 9 ноября 2006 года № 122-ЗС «О правотворческой деятельности» (Сборник законодательства Алтайского края, 2006, № 127, часть II; 2009, № 154, № 156, часть I; 2010, № 168, часть 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I; 2011, № 183, часть I; 2012, № 198, часть I, № 200, часть I; 2013, № 207, часть I, № 212, часть I; 2014, № 217, часть I, № 223, часть I; Официальный интернет-портал правовой информации (www.pravo.gov.ru), 10 мая 2016 года, 6 марта 2017 года, 31 октября 2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018 года, 6 февраля 2019 года, 5 июня 2019 года, 6 сентября 2019 года, 12 ноября 2019 года, 28 октября 2020 года, 24 декабря 2020 года, 8 сентября 2021 года, 2 сентября 2022 года, 7 марта 2023 года, 7 ноября 2023 года, 2 мая 2024 года) следующие изменения: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1) в части 4 статьи 9 слово «Губернатором» заменить словом «Правительством»;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2) статью 25-2 признать утратившей силу;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3) 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статью 29-1 дополнить частью 1-1 следующего содержания: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«1-1. Не подлежат государственной регистрации нормативные правовые акты органов исполни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тельной власти Алтайского края, содержащие сведения, составляющие государственную или иную охраняемую федеральным законодательством тайну, а также сведения конфиденциального характера, перечень которых утверждается указом Президента Российской Федерации.»;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4) в части 1 статьи 31 слова «частью 4» заменить словами «частями 4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br/>
        <w:t xml:space="preserve">и 5».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b/>
          <w:color w:val="000000"/>
          <w:sz w:val="28"/>
          <w:szCs w:val="28"/>
        </w:rPr>
        <w:t xml:space="preserve">Статья 2</w:t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Внести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закон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Алтайского края от 6 декабря 2010 года № 107-ЗС 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 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 (Сборник законодательства Алтайского края, 2010, № 176, часть I; Официальный интернет-портал правовой информации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www.pravo.gov.ru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), 6 февраля 2019 года, 6 сентября 2019 года, 31 марта 2020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года, 1 ноября 2021 года, 2 сентября 2022 года) следующие изменения: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части 4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3 слова 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«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Российской Федерации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/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 заменить словами «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Федерального закона 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от 20 марта 2025 года № 33-ФЗ «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»»;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 в статье 4: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част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3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слова «30 дней» 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заменить словами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«30 календарных дней»,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после слов «закона Алтайского края» дополнить </w:t>
      </w: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словами «с документами, указанными в статье 3 настоящего Закона,»;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часть 4 признать утратившей силу.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2"/>
        </w:pBd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 3</w:t>
      </w:r>
      <w:r>
        <w:rPr>
          <w:rStyle w:val="941"/>
          <w:rFonts w:ascii="PT Astra Serif" w:hAnsi="PT Astra Serif" w:cs="PT Astra Serif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Внести в закон Алтайского края от 4 июля 2017 года № 46-ЗС «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О регистре муниципальных нормативных правовых актов Алтайского края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» (Официальный интернет-портал правовой информации (www.pravo.gov.ru), 5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июля 2017 года, 5 июня 2019 года, 11 февраля 2020 года, 29 апреля 2022 года, 2 сентября 2022 года, 7 ноября 2023 года) следующие изменения: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1) в преамбуле слова «Федеральным законом от 6 октября 20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03 года № 131-ФЗ «Об общих принципах организации местного самоуправления в Российской Федерации»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»</w:t>
      </w:r>
      <w:r/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власти»»;</w:t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2)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пункте 1 статьи 1 слова «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на местном референдуме (сходе граждан)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» заменить словами «на местном референдуме, сходе граждан»;</w:t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3) часть 1 статьи 3 изложить в следующей редакции:</w:t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«1.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В Регистр включаются следующие муниципальные нормативные правовые акты:</w:t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1)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нормативные правовые акты, принятые на местном референдуме, сходе граждан;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2) нормативные правовые акты представительного органа муниципального образования;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3)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нормативные правовые акты главы муниципального образования;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4)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нормативные правовые акты местной администрации;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5)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нормативные правовые акты иных органов местного самоуправления и должностных лиц местного самоуправления, предусмотренных уставом муниципального образования.»;</w:t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/>
      <w:bookmarkStart w:id="0" w:name="_GoBack"/>
      <w:r/>
      <w:bookmarkEnd w:id="0"/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4)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 </w:t>
      </w: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часть 2 статьи 6 признать утратившей силу.</w:t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Cs w:val="0"/>
          <w:color w:val="000000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Cs w:val="0"/>
          <w:color w:val="000000"/>
          <w:sz w:val="28"/>
          <w:szCs w:val="28"/>
        </w:rPr>
        <w:t xml:space="preserve">Статья 4</w:t>
      </w:r>
      <w:r>
        <w:rPr>
          <w:rStyle w:val="941"/>
          <w:rFonts w:ascii="PT Astra Serif" w:hAnsi="PT Astra Serif" w:cs="PT Astra Serif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Style w:val="941"/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Style w:val="941"/>
          <w:rFonts w:ascii="PT Astra Serif" w:hAnsi="PT Astra Serif" w:eastAsia="PT Astra Serif" w:cs="PT Astra Serif"/>
          <w:b w:val="0"/>
          <w:bCs w:val="0"/>
          <w:color w:val="000000"/>
          <w:sz w:val="28"/>
          <w:szCs w:val="28"/>
        </w:rPr>
        <w:t xml:space="preserve">1. Настоящий Закон вступает в силу со дня его официального опубликования.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pStyle w:val="930"/>
        <w:ind w:firstLine="709"/>
        <w:jc w:val="both"/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2.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Со дня вступления в силу настоящего Закона признать утратившими силу: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 пункт 3 статьи 1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акона Алтайского края от 2 апреля 2010 года № 24-ЗС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 внесении изменений в закон Алтайского края «О правотворческой деятельности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 (Сборник законодательства Алтайского края, 2010, № 168, часть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I);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 пункт 14 статьи 1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акона Алтайского края от 2 июля 2013 года </w:t>
        <w:br/>
        <w:t xml:space="preserve">№ 44-ЗС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 внесении изменений в закон Алтайского края «О правотворческой деятельности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 (Сборник законодательства Алтайского края, 2013, № 207, часть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I);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3) пункт 9 статьи 1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акона Алтайского края от 6 мая 2016 года </w:t>
        <w:br/>
        <w:t xml:space="preserve">№ 37-ЗС 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 внесении изменений в закон Алтайского края «О правотворческой деятельности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(Официальный интернет-портал правовой информации (www.pravo.gov.ru), 10 мая 2016 года);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 пункт 2 статьи 1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акона Алтайского края от 5 июня 2019 года </w:t>
        <w:br/>
        <w:t xml:space="preserve">№ 41-ЗС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 внесении изменений в статью 6 закона Алтайского края </w:t>
        <w:br/>
        <w:t xml:space="preserve">«О регистре муниципальных нормативных правовых актов Алтайского края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 (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Официальный интернет-портал правовой информации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www.pravo.gov.ru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), 5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июня 2019 года);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1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 пункт 2 статьи 5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акона Алтайского края от 29 апреля 2022 года </w:t>
        <w:br/>
        <w:t xml:space="preserve">№ 26-ЗС 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 внесении изменений в отдельные законы Алтайского края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Официальный интернет-портал правовой информации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www.pravo.gov.ru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),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  <w:br/>
        <w:t xml:space="preserve">29 апреля 2022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года)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92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28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3"/>
        <w:gridCol w:w="492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Губернатор Алтайского края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1" w:type="dxa"/>
            <w:vAlign w:val="bottom"/>
            <w:textDirection w:val="lrTb"/>
            <w:noWrap w:val="false"/>
          </w:tcPr>
          <w:p>
            <w:pPr>
              <w:jc w:val="right"/>
              <w:widowControl w:val="off"/>
              <w:tabs>
                <w:tab w:val="left" w:pos="72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В.П. Томенко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ru-RU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rPr>
        <w:rStyle w:val="938"/>
      </w:rPr>
      <w:framePr w:wrap="around" w:vAnchor="text" w:hAnchor="margin" w:xAlign="right" w:y="1"/>
    </w:pPr>
    <w:r>
      <w:rPr>
        <w:rStyle w:val="938"/>
      </w:rPr>
      <w:fldChar w:fldCharType="begin"/>
    </w:r>
    <w:r>
      <w:rPr>
        <w:rStyle w:val="938"/>
      </w:rPr>
      <w:instrText xml:space="preserve">PAGE  </w:instrText>
    </w:r>
    <w:r>
      <w:rPr>
        <w:rStyle w:val="938"/>
      </w:rPr>
      <w:fldChar w:fldCharType="end"/>
    </w:r>
    <w:r>
      <w:rPr>
        <w:rStyle w:val="938"/>
      </w:rPr>
    </w:r>
    <w:r>
      <w:rPr>
        <w:rStyle w:val="938"/>
      </w:rPr>
    </w:r>
  </w:p>
  <w:p>
    <w:pPr>
      <w:pStyle w:val="743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  <w:tabs>
          <w:tab w:val="num" w:pos="178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  <w:tabs>
          <w:tab w:val="num" w:pos="175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  <w:tabs>
          <w:tab w:val="num" w:pos="190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</w:style>
  <w:style w:type="paragraph" w:styleId="711">
    <w:name w:val="Heading 1"/>
    <w:basedOn w:val="710"/>
    <w:next w:val="710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12">
    <w:name w:val="Heading 2"/>
    <w:basedOn w:val="710"/>
    <w:next w:val="710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lang w:val="en-US" w:eastAsia="en-US"/>
    </w:rPr>
  </w:style>
  <w:style w:type="paragraph" w:styleId="713">
    <w:name w:val="Heading 3"/>
    <w:basedOn w:val="710"/>
    <w:next w:val="710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14">
    <w:name w:val="Heading 4"/>
    <w:basedOn w:val="710"/>
    <w:next w:val="710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15">
    <w:name w:val="Heading 5"/>
    <w:basedOn w:val="710"/>
    <w:next w:val="710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16">
    <w:name w:val="Heading 6"/>
    <w:basedOn w:val="710"/>
    <w:next w:val="710"/>
    <w:link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17">
    <w:name w:val="Heading 7"/>
    <w:basedOn w:val="710"/>
    <w:next w:val="710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18">
    <w:name w:val="Heading 8"/>
    <w:basedOn w:val="710"/>
    <w:next w:val="710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19">
    <w:name w:val="Heading 9"/>
    <w:basedOn w:val="710"/>
    <w:next w:val="710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Title Char"/>
    <w:uiPriority w:val="10"/>
    <w:rPr>
      <w:sz w:val="48"/>
      <w:szCs w:val="48"/>
    </w:rPr>
  </w:style>
  <w:style w:type="character" w:styleId="72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1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rPr>
      <w:lang w:eastAsia="zh-CN"/>
    </w:rPr>
  </w:style>
  <w:style w:type="paragraph" w:styleId="735">
    <w:name w:val="Title"/>
    <w:basedOn w:val="710"/>
    <w:next w:val="71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 w:customStyle="1">
    <w:name w:val="Название Знак"/>
    <w:link w:val="735"/>
    <w:uiPriority w:val="10"/>
    <w:rPr>
      <w:sz w:val="48"/>
      <w:szCs w:val="48"/>
    </w:rPr>
  </w:style>
  <w:style w:type="paragraph" w:styleId="737">
    <w:name w:val="Subtitle"/>
    <w:basedOn w:val="710"/>
    <w:next w:val="710"/>
    <w:link w:val="795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38" w:customStyle="1">
    <w:name w:val="Subtitle Char"/>
    <w:uiPriority w:val="11"/>
    <w:rPr>
      <w:sz w:val="24"/>
      <w:szCs w:val="24"/>
    </w:rPr>
  </w:style>
  <w:style w:type="paragraph" w:styleId="739">
    <w:name w:val="Quote"/>
    <w:basedOn w:val="710"/>
    <w:next w:val="710"/>
    <w:link w:val="796"/>
    <w:uiPriority w:val="29"/>
    <w:qFormat/>
    <w:pPr>
      <w:ind w:left="720" w:right="720"/>
    </w:pPr>
    <w:rPr>
      <w:i/>
      <w:lang w:val="en-US" w:eastAsia="en-US"/>
    </w:rPr>
  </w:style>
  <w:style w:type="character" w:styleId="740" w:customStyle="1">
    <w:name w:val="Quote Char"/>
    <w:uiPriority w:val="29"/>
    <w:rPr>
      <w:i/>
    </w:rPr>
  </w:style>
  <w:style w:type="paragraph" w:styleId="741">
    <w:name w:val="Intense Quote"/>
    <w:basedOn w:val="710"/>
    <w:next w:val="710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42" w:customStyle="1">
    <w:name w:val="Intense Quote Char"/>
    <w:uiPriority w:val="30"/>
    <w:rPr>
      <w:i/>
    </w:rPr>
  </w:style>
  <w:style w:type="paragraph" w:styleId="743">
    <w:name w:val="Header"/>
    <w:basedOn w:val="710"/>
    <w:link w:val="93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44">
    <w:name w:val="Footer"/>
    <w:basedOn w:val="710"/>
    <w:link w:val="93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paragraph" w:styleId="745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746">
    <w:name w:val="Table Grid"/>
    <w:basedOn w:val="721"/>
    <w:uiPriority w:val="99"/>
    <w:tblPr/>
  </w:style>
  <w:style w:type="table" w:styleId="74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766">
    <w:name w:val="Hyperlink"/>
    <w:uiPriority w:val="99"/>
    <w:rPr>
      <w:rFonts w:cs="Times New Roman"/>
      <w:color w:val="0000ff"/>
      <w:u w:val="single"/>
    </w:rPr>
  </w:style>
  <w:style w:type="paragraph" w:styleId="767">
    <w:name w:val="footnote text"/>
    <w:basedOn w:val="710"/>
    <w:link w:val="926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68" w:customStyle="1">
    <w:name w:val="Footnote Text Char"/>
    <w:uiPriority w:val="99"/>
    <w:rPr>
      <w:sz w:val="18"/>
    </w:rPr>
  </w:style>
  <w:style w:type="character" w:styleId="769">
    <w:name w:val="footnote reference"/>
    <w:uiPriority w:val="99"/>
    <w:unhideWhenUsed/>
    <w:rPr>
      <w:vertAlign w:val="superscript"/>
    </w:rPr>
  </w:style>
  <w:style w:type="paragraph" w:styleId="770">
    <w:name w:val="endnote text"/>
    <w:basedOn w:val="710"/>
    <w:link w:val="927"/>
    <w:uiPriority w:val="99"/>
    <w:semiHidden/>
    <w:unhideWhenUsed/>
    <w:rPr>
      <w:lang w:val="en-US" w:eastAsia="en-US"/>
    </w:rPr>
  </w:style>
  <w:style w:type="character" w:styleId="771" w:customStyle="1">
    <w:name w:val="Endnote Text Char"/>
    <w:uiPriority w:val="99"/>
    <w:rPr>
      <w:sz w:val="20"/>
    </w:rPr>
  </w:style>
  <w:style w:type="character" w:styleId="772">
    <w:name w:val="endnote reference"/>
    <w:uiPriority w:val="99"/>
    <w:semiHidden/>
    <w:unhideWhenUsed/>
    <w:rPr>
      <w:vertAlign w:val="superscript"/>
    </w:rPr>
  </w:style>
  <w:style w:type="paragraph" w:styleId="773">
    <w:name w:val="toc 1"/>
    <w:basedOn w:val="710"/>
    <w:next w:val="710"/>
    <w:uiPriority w:val="39"/>
    <w:unhideWhenUsed/>
    <w:pPr>
      <w:spacing w:after="57"/>
    </w:pPr>
  </w:style>
  <w:style w:type="paragraph" w:styleId="774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775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776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777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778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779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780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781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782">
    <w:name w:val="TOC Heading"/>
    <w:uiPriority w:val="39"/>
    <w:unhideWhenUsed/>
    <w:rPr>
      <w:lang w:eastAsia="zh-CN"/>
    </w:rPr>
  </w:style>
  <w:style w:type="paragraph" w:styleId="783">
    <w:name w:val="table of figures"/>
    <w:basedOn w:val="710"/>
    <w:next w:val="710"/>
    <w:uiPriority w:val="99"/>
    <w:unhideWhenUsed/>
  </w:style>
  <w:style w:type="character" w:styleId="784" w:customStyle="1">
    <w:name w:val="Заголовок 1 Знак"/>
    <w:link w:val="711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"/>
    <w:link w:val="712"/>
    <w:uiPriority w:val="9"/>
    <w:rPr>
      <w:rFonts w:ascii="Arial" w:hAnsi="Arial" w:eastAsia="Arial" w:cs="Arial"/>
      <w:sz w:val="34"/>
    </w:rPr>
  </w:style>
  <w:style w:type="character" w:styleId="786" w:customStyle="1">
    <w:name w:val="Заголовок 3 Знак"/>
    <w:link w:val="713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Заголовок 4 Знак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Заголовок 5 Знак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Заголовок 6 Знак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Заголовок 7 Знак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93" w:customStyle="1">
    <w:name w:val="Заголовок"/>
    <w:basedOn w:val="710"/>
    <w:next w:val="710"/>
    <w:link w:val="794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94" w:customStyle="1">
    <w:name w:val="Заголовок Знак"/>
    <w:link w:val="793"/>
    <w:uiPriority w:val="10"/>
    <w:rPr>
      <w:sz w:val="48"/>
      <w:szCs w:val="48"/>
    </w:rPr>
  </w:style>
  <w:style w:type="character" w:styleId="795" w:customStyle="1">
    <w:name w:val="Подзаголовок Знак"/>
    <w:link w:val="737"/>
    <w:uiPriority w:val="11"/>
    <w:rPr>
      <w:sz w:val="24"/>
      <w:szCs w:val="24"/>
    </w:rPr>
  </w:style>
  <w:style w:type="character" w:styleId="796" w:customStyle="1">
    <w:name w:val="Цитата 2 Знак"/>
    <w:link w:val="739"/>
    <w:uiPriority w:val="29"/>
    <w:rPr>
      <w:i/>
    </w:rPr>
  </w:style>
  <w:style w:type="character" w:styleId="797" w:customStyle="1">
    <w:name w:val="Выделенная цитата Знак"/>
    <w:link w:val="741"/>
    <w:uiPriority w:val="30"/>
    <w:rPr>
      <w:i/>
    </w:rPr>
  </w:style>
  <w:style w:type="character" w:styleId="798" w:customStyle="1">
    <w:name w:val="Header Char"/>
    <w:uiPriority w:val="99"/>
  </w:style>
  <w:style w:type="character" w:styleId="799" w:customStyle="1">
    <w:name w:val="Footer Char"/>
    <w:uiPriority w:val="99"/>
  </w:style>
  <w:style w:type="character" w:styleId="800" w:customStyle="1">
    <w:name w:val="Caption Char"/>
    <w:uiPriority w:val="99"/>
  </w:style>
  <w:style w:type="table" w:styleId="801" w:customStyle="1">
    <w:name w:val="Table Grid Light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 простая 1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 простая 2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Таблица простая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 простая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 простая 5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-сетк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Таблица-сетка 2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Таблица-сетка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Таблица-сетка 4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1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2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3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4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5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6"/>
    <w:uiPriority w:val="5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Таблица-сетка 5 тем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Таблица-сетка 6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Таблица-сетка 7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Список-таблица 1 светл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Список-таблица 2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Список-таблица 3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Список-таблица 4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Список-таблица 5 тем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Список-таблица 6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Список-таблица 7 цветная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1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2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3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4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5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6"/>
    <w:uiPriority w:val="99"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1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2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3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4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5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6"/>
    <w:uiPriority w:val="99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6" w:customStyle="1">
    <w:name w:val="Текст сноски Знак"/>
    <w:link w:val="767"/>
    <w:uiPriority w:val="99"/>
    <w:rPr>
      <w:sz w:val="18"/>
    </w:rPr>
  </w:style>
  <w:style w:type="character" w:styleId="927" w:customStyle="1">
    <w:name w:val="Текст концевой сноски Знак"/>
    <w:link w:val="770"/>
    <w:uiPriority w:val="99"/>
    <w:rPr>
      <w:sz w:val="20"/>
    </w:rPr>
  </w:style>
  <w:style w:type="paragraph" w:styleId="92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30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31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32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paragraph" w:styleId="933" w:customStyle="1">
    <w:name w:val="Знак"/>
    <w:basedOn w:val="71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34">
    <w:name w:val="Balloon Text"/>
    <w:basedOn w:val="710"/>
    <w:link w:val="935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35" w:customStyle="1">
    <w:name w:val="Текст выноски Знак"/>
    <w:link w:val="934"/>
    <w:uiPriority w:val="99"/>
    <w:semiHidden/>
    <w:rPr>
      <w:rFonts w:ascii="Tahoma" w:hAnsi="Tahoma" w:cs="Tahoma"/>
      <w:sz w:val="16"/>
      <w:szCs w:val="16"/>
    </w:rPr>
  </w:style>
  <w:style w:type="character" w:styleId="936" w:customStyle="1">
    <w:name w:val="Верхний колонтитул Знак"/>
    <w:link w:val="743"/>
    <w:uiPriority w:val="99"/>
    <w:rPr>
      <w:rFonts w:cs="Times New Roman"/>
      <w:sz w:val="20"/>
      <w:szCs w:val="20"/>
    </w:rPr>
  </w:style>
  <w:style w:type="character" w:styleId="937" w:customStyle="1">
    <w:name w:val="Нижний колонтитул Знак"/>
    <w:link w:val="744"/>
    <w:uiPriority w:val="99"/>
    <w:semiHidden/>
    <w:rPr>
      <w:rFonts w:cs="Times New Roman"/>
      <w:sz w:val="20"/>
      <w:szCs w:val="20"/>
    </w:rPr>
  </w:style>
  <w:style w:type="character" w:styleId="938">
    <w:name w:val="page number"/>
    <w:uiPriority w:val="99"/>
    <w:rPr>
      <w:rFonts w:cs="Times New Roman"/>
    </w:rPr>
  </w:style>
  <w:style w:type="paragraph" w:styleId="939">
    <w:name w:val="Body Text Indent 2"/>
    <w:basedOn w:val="710"/>
    <w:link w:val="940"/>
    <w:uiPriority w:val="99"/>
    <w:pPr>
      <w:ind w:firstLine="709"/>
      <w:jc w:val="both"/>
    </w:pPr>
    <w:rPr>
      <w:lang w:val="en-US" w:eastAsia="en-US"/>
    </w:rPr>
  </w:style>
  <w:style w:type="character" w:styleId="940" w:customStyle="1">
    <w:name w:val="Основной текст с отступом 2 Знак"/>
    <w:link w:val="939"/>
    <w:uiPriority w:val="99"/>
    <w:rPr>
      <w:rFonts w:cs="Times New Roman"/>
      <w:sz w:val="20"/>
      <w:szCs w:val="20"/>
    </w:rPr>
  </w:style>
  <w:style w:type="character" w:styleId="941" w:customStyle="1">
    <w:name w:val="docdata;docy;v5;2002;bqiaagaaeyqcaaagiaiaaap2baaabqqfaaaaaaaaaaaaaaaaaaaaaaaaaaaaaaaaaaaaaaaaaaaaaaaaaaaaaaaaaaaaaaaaaaaaaaaaaaaaaaaaaaaaaaaaaaaaaaaaaaaaaaaaaaaaaaaaaaaaaaaaaaaaaaaaaaaaaaaaaaaaaaaaaaaaaaaaaaaaaaaaaaaaaaaaaaaaaaaaaaaaaaaaaaaaaaaaaaaaaaaa"/>
  </w:style>
  <w:style w:type="paragraph" w:styleId="942" w:customStyle="1">
    <w:name w:val="3792;bqiaagaaeyqcaaagiaiaaap0cwaabqimaaaaaaaaaaaaaaaaaaaaaaaaaaaaaaaaaaaaaaaaaaaaaaaaaaaaaaaaaaaaaaaaaaaaaaaaaaaaaaaaaaaaaaaaaaaaaaaaaaaaaaaaaaaaaaaaaaaaaaaaaaaaaaaaaaaaaaaaaaaaaaaaaaaaaaaaaaaaaaaaaaaaaaaaaaaaaaaaaaaaaaaaaaaaaaaaaaaaaaaa"/>
    <w:basedOn w:val="710"/>
    <w:pPr>
      <w:spacing w:before="100" w:beforeAutospacing="1" w:after="100" w:afterAutospacing="1"/>
    </w:pPr>
    <w:rPr>
      <w:sz w:val="24"/>
      <w:szCs w:val="24"/>
    </w:rPr>
  </w:style>
  <w:style w:type="paragraph" w:styleId="943" w:customStyle="1">
    <w:name w:val="43958;bqiaagaaeyqcaaagiaiaaapaqaaabeioaaaaaaaaaaaaaaaaaaaaaaaaaaaaaaaaaaaaaaaaaaaaaaaaaaaaaaaaaaaaaaaaaaaaaaaaaaaaaaaaaaaaaaaaaaaaaaaaaaaaaaaaaaaaaaaaaaaaaaaaaaaaaaaaaaaaaaaaaaaaaaaaaaaaaaaaaaaaaaaaaaaaaaaaaaaaaaaaaaaaaaaaaaaaaaaaaaaaaaa"/>
    <w:basedOn w:val="710"/>
    <w:pPr>
      <w:spacing w:before="100" w:beforeAutospacing="1" w:after="100" w:afterAutospacing="1"/>
    </w:pPr>
    <w:rPr>
      <w:sz w:val="24"/>
      <w:szCs w:val="24"/>
    </w:rPr>
  </w:style>
  <w:style w:type="paragraph" w:styleId="944">
    <w:name w:val="Normal (Web)"/>
    <w:basedOn w:val="71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управление по труду и занятости населения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revision>30</cp:revision>
  <dcterms:created xsi:type="dcterms:W3CDTF">2024-10-03T04:24:00Z</dcterms:created>
  <dcterms:modified xsi:type="dcterms:W3CDTF">2025-06-10T02:47:04Z</dcterms:modified>
  <cp:version>917504</cp:version>
</cp:coreProperties>
</file>